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8E4182" w:rsidRPr="008E4182" w:rsidRDefault="008E4182" w:rsidP="008E4182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8E4182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8E4182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8E4182">
        <w:rPr>
          <w:b/>
          <w:bCs/>
          <w:iCs/>
          <w:lang w:eastAsia="en-US"/>
        </w:rPr>
        <w:t>Titolo progetto:</w:t>
      </w:r>
      <w:r w:rsidRPr="008E4182">
        <w:rPr>
          <w:rFonts w:ascii="Arial" w:eastAsia="Calibri" w:hAnsi="Arial" w:cs="Arial"/>
          <w:b/>
          <w:bCs/>
          <w:color w:val="333333"/>
        </w:rPr>
        <w:t xml:space="preserve"> “</w:t>
      </w:r>
      <w:r w:rsidRPr="008E4182">
        <w:rPr>
          <w:b/>
          <w:bCs/>
          <w:iCs/>
          <w:lang w:eastAsia="en-US"/>
        </w:rPr>
        <w:t>Coding robotica il futuro siamo noi”</w:t>
      </w: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8E4182">
        <w:rPr>
          <w:b/>
          <w:bCs/>
          <w:iCs/>
          <w:lang w:eastAsia="en-US"/>
        </w:rPr>
        <w:t xml:space="preserve"> CODICE CUP: E77I17001300007 </w:t>
      </w: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8E4182">
        <w:rPr>
          <w:b/>
          <w:bCs/>
          <w:iCs/>
          <w:lang w:eastAsia="en-US"/>
        </w:rPr>
        <w:t>CODICE PROGETTO: 10.2.2A-FSEPON-SI-2018-886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E6" w:rsidRDefault="00357FE6">
      <w:r>
        <w:separator/>
      </w:r>
    </w:p>
  </w:endnote>
  <w:endnote w:type="continuationSeparator" w:id="0">
    <w:p w:rsidR="00357FE6" w:rsidRDefault="0035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0115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E6" w:rsidRDefault="00357FE6">
      <w:r>
        <w:separator/>
      </w:r>
    </w:p>
  </w:footnote>
  <w:footnote w:type="continuationSeparator" w:id="0">
    <w:p w:rsidR="00357FE6" w:rsidRDefault="0035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9539D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57FE6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023A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0F5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4182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15B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64F2-AE67-4B44-8173-A672712A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2019-03-15T12:26:00Z</dcterms:created>
  <dcterms:modified xsi:type="dcterms:W3CDTF">2019-03-15T12:26:00Z</dcterms:modified>
</cp:coreProperties>
</file>